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65" w:rsidRPr="002E7847" w:rsidRDefault="003A1565" w:rsidP="00C37A75">
      <w:pPr>
        <w:shd w:val="clear" w:color="auto" w:fill="FFFFFF"/>
        <w:spacing w:after="0" w:line="240" w:lineRule="auto"/>
        <w:jc w:val="center"/>
        <w:outlineLvl w:val="2"/>
        <w:rPr>
          <w:rFonts w:ascii="Tahoma" w:eastAsia="Times New Roman" w:hAnsi="Tahoma" w:cs="Tahoma"/>
          <w:b/>
          <w:bCs/>
          <w:color w:val="000000"/>
          <w:sz w:val="20"/>
          <w:szCs w:val="20"/>
          <w:lang w:eastAsia="it-IT"/>
        </w:rPr>
      </w:pPr>
      <w:r w:rsidRPr="002E7847">
        <w:rPr>
          <w:rFonts w:ascii="Arial" w:eastAsia="Times New Roman" w:hAnsi="Arial" w:cs="Arial"/>
          <w:b/>
          <w:bCs/>
          <w:color w:val="000080"/>
          <w:sz w:val="20"/>
          <w:szCs w:val="20"/>
          <w:lang w:eastAsia="it-IT"/>
        </w:rPr>
        <w:t xml:space="preserve">D. </w:t>
      </w:r>
      <w:proofErr w:type="spellStart"/>
      <w:r w:rsidRPr="002E7847">
        <w:rPr>
          <w:rFonts w:ascii="Arial" w:eastAsia="Times New Roman" w:hAnsi="Arial" w:cs="Arial"/>
          <w:b/>
          <w:bCs/>
          <w:color w:val="000080"/>
          <w:sz w:val="20"/>
          <w:szCs w:val="20"/>
          <w:lang w:eastAsia="it-IT"/>
        </w:rPr>
        <w:t>Lgs</w:t>
      </w:r>
      <w:proofErr w:type="spellEnd"/>
      <w:r w:rsidRPr="002E7847">
        <w:rPr>
          <w:rFonts w:ascii="Arial" w:eastAsia="Times New Roman" w:hAnsi="Arial" w:cs="Arial"/>
          <w:b/>
          <w:bCs/>
          <w:color w:val="000080"/>
          <w:sz w:val="20"/>
          <w:szCs w:val="20"/>
          <w:lang w:eastAsia="it-IT"/>
        </w:rPr>
        <w:t>. n. 150/2009 </w:t>
      </w:r>
      <w:hyperlink r:id="rId4" w:history="1">
        <w:r w:rsidRPr="002E7847">
          <w:rPr>
            <w:rFonts w:ascii="Arial" w:eastAsia="Times New Roman" w:hAnsi="Arial" w:cs="Arial"/>
            <w:color w:val="000080"/>
            <w:sz w:val="20"/>
            <w:szCs w:val="20"/>
            <w:u w:val="single"/>
            <w:lang w:eastAsia="it-IT"/>
          </w:rPr>
          <w:t> art. 14, comma 4, lettera a e lettera g</w:t>
        </w:r>
        <w:r w:rsidRPr="002E7847">
          <w:rPr>
            <w:rFonts w:ascii="Arial" w:eastAsia="Times New Roman" w:hAnsi="Arial" w:cs="Arial"/>
            <w:color w:val="000080"/>
            <w:sz w:val="20"/>
            <w:szCs w:val="20"/>
            <w:u w:val="single"/>
            <w:bdr w:val="none" w:sz="0" w:space="0" w:color="auto" w:frame="1"/>
            <w:lang w:eastAsia="it-IT"/>
          </w:rPr>
          <w:br/>
        </w:r>
      </w:hyperlink>
    </w:p>
    <w:p w:rsidR="003A1565" w:rsidRPr="002E7847" w:rsidRDefault="003A1565" w:rsidP="003A1565">
      <w:pPr>
        <w:shd w:val="clear" w:color="auto" w:fill="FFFFFF"/>
        <w:spacing w:after="0" w:line="240" w:lineRule="auto"/>
        <w:jc w:val="center"/>
        <w:outlineLvl w:val="2"/>
        <w:rPr>
          <w:rFonts w:ascii="Times New Roman" w:eastAsia="Times New Roman" w:hAnsi="Times New Roman" w:cs="Times New Roman"/>
          <w:b/>
          <w:bCs/>
          <w:color w:val="000000"/>
          <w:sz w:val="26"/>
          <w:szCs w:val="26"/>
          <w:lang w:eastAsia="it-IT"/>
        </w:rPr>
      </w:pPr>
      <w:r w:rsidRPr="003A1565">
        <w:rPr>
          <w:rFonts w:ascii="Verdana" w:eastAsia="Times New Roman" w:hAnsi="Verdana" w:cs="Tahoma"/>
          <w:b/>
          <w:bCs/>
          <w:color w:val="000000"/>
          <w:sz w:val="20"/>
          <w:lang w:eastAsia="it-IT"/>
        </w:rPr>
        <w:t>Art. 14.</w:t>
      </w:r>
      <w:r w:rsidRPr="003A1565">
        <w:rPr>
          <w:rFonts w:ascii="Verdana" w:eastAsia="Times New Roman" w:hAnsi="Verdana" w:cs="Tahoma"/>
          <w:b/>
          <w:bCs/>
          <w:color w:val="000000"/>
          <w:sz w:val="20"/>
          <w:szCs w:val="20"/>
          <w:lang w:eastAsia="it-IT"/>
        </w:rPr>
        <w:br/>
      </w:r>
      <w:r w:rsidRPr="002E7847">
        <w:rPr>
          <w:rFonts w:ascii="Times New Roman" w:eastAsia="Times New Roman" w:hAnsi="Times New Roman" w:cs="Times New Roman"/>
          <w:b/>
          <w:bCs/>
          <w:i/>
          <w:iCs/>
          <w:color w:val="000000"/>
          <w:sz w:val="20"/>
          <w:lang w:eastAsia="it-IT"/>
        </w:rPr>
        <w:t>Organismo indipendente di valutazione della performance</w:t>
      </w:r>
    </w:p>
    <w:p w:rsidR="003A1565" w:rsidRPr="002E7847" w:rsidRDefault="003A1565" w:rsidP="003A1565">
      <w:pPr>
        <w:shd w:val="clear" w:color="auto" w:fill="FFFFFF"/>
        <w:spacing w:after="0" w:line="360" w:lineRule="atLeast"/>
        <w:jc w:val="center"/>
        <w:rPr>
          <w:rFonts w:ascii="Times New Roman" w:eastAsia="Times New Roman" w:hAnsi="Times New Roman" w:cs="Times New Roman"/>
          <w:color w:val="000000"/>
          <w:sz w:val="18"/>
          <w:szCs w:val="18"/>
          <w:lang w:eastAsia="it-IT"/>
        </w:rPr>
      </w:pPr>
      <w:r w:rsidRPr="002E7847">
        <w:rPr>
          <w:rFonts w:ascii="Times New Roman" w:eastAsia="Times New Roman" w:hAnsi="Times New Roman" w:cs="Times New Roman"/>
          <w:color w:val="000000"/>
          <w:sz w:val="18"/>
          <w:szCs w:val="18"/>
          <w:lang w:eastAsia="it-IT"/>
        </w:rPr>
        <w:t>......omissis.....</w:t>
      </w:r>
    </w:p>
    <w:p w:rsidR="003A1565" w:rsidRPr="002E7847" w:rsidRDefault="002E7847" w:rsidP="003A1565">
      <w:pPr>
        <w:shd w:val="clear" w:color="auto" w:fill="FFFFFF"/>
        <w:spacing w:after="0" w:line="360" w:lineRule="atLeas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r w:rsidR="003A1565" w:rsidRPr="002E7847">
        <w:rPr>
          <w:rFonts w:ascii="Times New Roman" w:eastAsia="Times New Roman" w:hAnsi="Times New Roman" w:cs="Times New Roman"/>
          <w:color w:val="000000"/>
          <w:sz w:val="24"/>
          <w:szCs w:val="24"/>
          <w:lang w:eastAsia="it-IT"/>
        </w:rPr>
        <w:t>4 - L'Organismo indipendente di valutazione della performance:</w:t>
      </w:r>
    </w:p>
    <w:p w:rsidR="003A1565" w:rsidRPr="002E7847" w:rsidRDefault="003A1565" w:rsidP="00C37A75">
      <w:pPr>
        <w:shd w:val="clear" w:color="auto" w:fill="FFFFFF"/>
        <w:spacing w:after="0" w:line="360" w:lineRule="atLeast"/>
        <w:ind w:left="450"/>
        <w:rPr>
          <w:rFonts w:ascii="Times New Roman" w:eastAsia="Times New Roman" w:hAnsi="Times New Roman" w:cs="Times New Roman"/>
          <w:color w:val="000000"/>
          <w:sz w:val="24"/>
          <w:szCs w:val="24"/>
          <w:lang w:eastAsia="it-IT"/>
        </w:rPr>
      </w:pPr>
      <w:r w:rsidRPr="002E7847">
        <w:rPr>
          <w:rFonts w:ascii="Times New Roman" w:eastAsia="Times New Roman" w:hAnsi="Times New Roman" w:cs="Times New Roman"/>
          <w:color w:val="000000"/>
          <w:sz w:val="24"/>
          <w:szCs w:val="24"/>
          <w:lang w:eastAsia="it-IT"/>
        </w:rPr>
        <w:t>a) monitora il funzionamento complessivo del sistema della valutazione, della trasparenza e integrità dei controlli interni ed elabora una relazione annuale sullo stato dello stesso;</w:t>
      </w:r>
      <w:r w:rsidRPr="002E7847">
        <w:rPr>
          <w:rFonts w:ascii="Times New Roman" w:eastAsia="Times New Roman" w:hAnsi="Times New Roman" w:cs="Times New Roman"/>
          <w:color w:val="000000"/>
          <w:sz w:val="24"/>
          <w:szCs w:val="24"/>
          <w:lang w:eastAsia="it-IT"/>
        </w:rPr>
        <w:br/>
        <w:t>b) comunica tempestivamente le criticità riscontrate ai competenti organi interni di governo ed amministr</w:t>
      </w:r>
      <w:r w:rsidR="002E7847">
        <w:rPr>
          <w:rFonts w:ascii="Times New Roman" w:eastAsia="Times New Roman" w:hAnsi="Times New Roman" w:cs="Times New Roman"/>
          <w:color w:val="000000"/>
          <w:sz w:val="24"/>
          <w:szCs w:val="24"/>
          <w:lang w:eastAsia="it-IT"/>
        </w:rPr>
        <w:t xml:space="preserve">azione, </w:t>
      </w:r>
      <w:proofErr w:type="spellStart"/>
      <w:r w:rsidR="002E7847">
        <w:rPr>
          <w:rFonts w:ascii="Times New Roman" w:eastAsia="Times New Roman" w:hAnsi="Times New Roman" w:cs="Times New Roman"/>
          <w:color w:val="000000"/>
          <w:sz w:val="24"/>
          <w:szCs w:val="24"/>
          <w:lang w:eastAsia="it-IT"/>
        </w:rPr>
        <w:t>nonche'</w:t>
      </w:r>
      <w:proofErr w:type="spellEnd"/>
      <w:r w:rsidR="002E7847">
        <w:rPr>
          <w:rFonts w:ascii="Times New Roman" w:eastAsia="Times New Roman" w:hAnsi="Times New Roman" w:cs="Times New Roman"/>
          <w:color w:val="000000"/>
          <w:sz w:val="24"/>
          <w:szCs w:val="24"/>
          <w:lang w:eastAsia="it-IT"/>
        </w:rPr>
        <w:t xml:space="preserve"> alla Corte dei C</w:t>
      </w:r>
      <w:r w:rsidRPr="002E7847">
        <w:rPr>
          <w:rFonts w:ascii="Times New Roman" w:eastAsia="Times New Roman" w:hAnsi="Times New Roman" w:cs="Times New Roman"/>
          <w:color w:val="000000"/>
          <w:sz w:val="24"/>
          <w:szCs w:val="24"/>
          <w:lang w:eastAsia="it-IT"/>
        </w:rPr>
        <w:t>onti, all'Ispettorato per la funzione pubblica e alla Commissione di cui all'articolo 13;</w:t>
      </w:r>
      <w:r w:rsidRPr="002E7847">
        <w:rPr>
          <w:rFonts w:ascii="Times New Roman" w:eastAsia="Times New Roman" w:hAnsi="Times New Roman" w:cs="Times New Roman"/>
          <w:color w:val="000000"/>
          <w:sz w:val="24"/>
          <w:szCs w:val="24"/>
          <w:lang w:eastAsia="it-IT"/>
        </w:rPr>
        <w:br/>
        <w:t>c) valida la Relazione sulla performance di cui all'articolo 10 e ne assicura la visibilità attraverso la pubblicazione sul sito istituzionale dell'amministrazione;</w:t>
      </w:r>
      <w:r w:rsidRPr="002E7847">
        <w:rPr>
          <w:rFonts w:ascii="Times New Roman" w:eastAsia="Times New Roman" w:hAnsi="Times New Roman" w:cs="Times New Roman"/>
          <w:color w:val="000000"/>
          <w:sz w:val="24"/>
          <w:szCs w:val="24"/>
          <w:lang w:eastAsia="it-IT"/>
        </w:rPr>
        <w:br/>
        <w:t xml:space="preserve">d) garantisce la correttezza dei processi di misurazione e valutazione, </w:t>
      </w:r>
      <w:proofErr w:type="spellStart"/>
      <w:r w:rsidRPr="002E7847">
        <w:rPr>
          <w:rFonts w:ascii="Times New Roman" w:eastAsia="Times New Roman" w:hAnsi="Times New Roman" w:cs="Times New Roman"/>
          <w:color w:val="000000"/>
          <w:sz w:val="24"/>
          <w:szCs w:val="24"/>
          <w:lang w:eastAsia="it-IT"/>
        </w:rPr>
        <w:t>nonche'</w:t>
      </w:r>
      <w:proofErr w:type="spellEnd"/>
      <w:r w:rsidRPr="002E7847">
        <w:rPr>
          <w:rFonts w:ascii="Times New Roman" w:eastAsia="Times New Roman" w:hAnsi="Times New Roman" w:cs="Times New Roman"/>
          <w:color w:val="000000"/>
          <w:sz w:val="24"/>
          <w:szCs w:val="24"/>
          <w:lang w:eastAsia="it-IT"/>
        </w:rPr>
        <w:t xml:space="preserve"> dell'utilizzo dei premi di cui al Titolo III, secondo quanto previsto dal presente decreto, dai contratti collettivi nazionali, dai contratti integrativi, dai regolamenti interni all'amministrazione, nel rispetto del principio di valorizzazione del merito e della professionalità;</w:t>
      </w:r>
      <w:r w:rsidRPr="002E7847">
        <w:rPr>
          <w:rFonts w:ascii="Times New Roman" w:eastAsia="Times New Roman" w:hAnsi="Times New Roman" w:cs="Times New Roman"/>
          <w:color w:val="000000"/>
          <w:sz w:val="24"/>
          <w:szCs w:val="24"/>
          <w:lang w:eastAsia="it-IT"/>
        </w:rPr>
        <w:br/>
        <w:t>e) propone, sulla base del sistema di cui all'articolo 7, all'organo di indirizzo politico-amministrativo, la valutazione annuale dei dirigenti di vertice e l'attribuzione ad essi dei premi di cui al Titolo III;</w:t>
      </w:r>
      <w:r w:rsidRPr="002E7847">
        <w:rPr>
          <w:rFonts w:ascii="Times New Roman" w:eastAsia="Times New Roman" w:hAnsi="Times New Roman" w:cs="Times New Roman"/>
          <w:color w:val="000000"/>
          <w:sz w:val="24"/>
          <w:szCs w:val="24"/>
          <w:lang w:eastAsia="it-IT"/>
        </w:rPr>
        <w:br/>
        <w:t>f) e' responsabile della corretta applicazione delle linee guida, delle metodologie e degli strumenti predisposti dalla Commissione di cui all'articolo 13;</w:t>
      </w:r>
      <w:r w:rsidRPr="002E7847">
        <w:rPr>
          <w:rFonts w:ascii="Times New Roman" w:eastAsia="Times New Roman" w:hAnsi="Times New Roman" w:cs="Times New Roman"/>
          <w:color w:val="000000"/>
          <w:sz w:val="24"/>
          <w:szCs w:val="24"/>
          <w:lang w:eastAsia="it-IT"/>
        </w:rPr>
        <w:br/>
        <w:t>g) promuove e attesta l'assolvimento degli obblighi relativi alla trasparenza e all'integrità di cui al presente Titolo;</w:t>
      </w:r>
      <w:r w:rsidRPr="002E7847">
        <w:rPr>
          <w:rFonts w:ascii="Times New Roman" w:eastAsia="Times New Roman" w:hAnsi="Times New Roman" w:cs="Times New Roman"/>
          <w:color w:val="000000"/>
          <w:sz w:val="24"/>
          <w:szCs w:val="24"/>
          <w:lang w:eastAsia="it-IT"/>
        </w:rPr>
        <w:br/>
        <w:t>h) verifica i risultati e le buone pratiche di promozione delle pari opportunità.</w:t>
      </w:r>
    </w:p>
    <w:p w:rsidR="00872751" w:rsidRDefault="00872751"/>
    <w:p w:rsidR="00C37A75" w:rsidRDefault="00C37A75"/>
    <w:p w:rsidR="00C37A75" w:rsidRPr="002E7847" w:rsidRDefault="00C37A75">
      <w:pPr>
        <w:rPr>
          <w:rFonts w:ascii="Times New Roman" w:hAnsi="Times New Roman" w:cs="Times New Roman"/>
        </w:rPr>
      </w:pPr>
      <w:r w:rsidRPr="002E7847">
        <w:rPr>
          <w:rFonts w:ascii="Times New Roman" w:hAnsi="Times New Roman" w:cs="Times New Roman"/>
          <w:color w:val="000000"/>
          <w:sz w:val="28"/>
          <w:szCs w:val="28"/>
          <w:shd w:val="clear" w:color="auto" w:fill="FFFFFF"/>
        </w:rPr>
        <w:t xml:space="preserve">La </w:t>
      </w:r>
      <w:proofErr w:type="spellStart"/>
      <w:r w:rsidRPr="002E7847">
        <w:rPr>
          <w:rFonts w:ascii="Times New Roman" w:hAnsi="Times New Roman" w:cs="Times New Roman"/>
          <w:color w:val="000000"/>
          <w:sz w:val="28"/>
          <w:szCs w:val="28"/>
          <w:shd w:val="clear" w:color="auto" w:fill="FFFFFF"/>
        </w:rPr>
        <w:t>Civit</w:t>
      </w:r>
      <w:proofErr w:type="spellEnd"/>
      <w:r w:rsidRPr="002E7847">
        <w:rPr>
          <w:rFonts w:ascii="Times New Roman" w:hAnsi="Times New Roman" w:cs="Times New Roman"/>
          <w:color w:val="000000"/>
          <w:sz w:val="28"/>
          <w:szCs w:val="28"/>
          <w:shd w:val="clear" w:color="auto" w:fill="FFFFFF"/>
        </w:rPr>
        <w:t xml:space="preserve">, nella seduta del 21 febbraio 2013, ha confermato che nell'ambito del sistema scolastico, ai sensi dell'art. 74, c. 4, del d. </w:t>
      </w:r>
      <w:proofErr w:type="spellStart"/>
      <w:r w:rsidRPr="002E7847">
        <w:rPr>
          <w:rFonts w:ascii="Times New Roman" w:hAnsi="Times New Roman" w:cs="Times New Roman"/>
          <w:color w:val="000000"/>
          <w:sz w:val="28"/>
          <w:szCs w:val="28"/>
          <w:shd w:val="clear" w:color="auto" w:fill="FFFFFF"/>
        </w:rPr>
        <w:t>lgs</w:t>
      </w:r>
      <w:proofErr w:type="spellEnd"/>
      <w:r w:rsidRPr="002E7847">
        <w:rPr>
          <w:rFonts w:ascii="Times New Roman" w:hAnsi="Times New Roman" w:cs="Times New Roman"/>
          <w:color w:val="000000"/>
          <w:sz w:val="28"/>
          <w:szCs w:val="28"/>
          <w:shd w:val="clear" w:color="auto" w:fill="FFFFFF"/>
        </w:rPr>
        <w:t>. n. 150/2009, è esclusa la costituzione degli OIV.</w:t>
      </w:r>
    </w:p>
    <w:sectPr w:rsidR="00C37A75" w:rsidRPr="002E7847" w:rsidSect="008727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A1565"/>
    <w:rsid w:val="001C45CA"/>
    <w:rsid w:val="002E7847"/>
    <w:rsid w:val="003627BD"/>
    <w:rsid w:val="003A1565"/>
    <w:rsid w:val="00872751"/>
    <w:rsid w:val="00C37A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751"/>
  </w:style>
  <w:style w:type="paragraph" w:styleId="Titolo3">
    <w:name w:val="heading 3"/>
    <w:basedOn w:val="Normale"/>
    <w:link w:val="Titolo3Carattere"/>
    <w:uiPriority w:val="9"/>
    <w:qFormat/>
    <w:rsid w:val="003A156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3A1565"/>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3A1565"/>
    <w:rPr>
      <w:color w:val="0000FF"/>
      <w:u w:val="single"/>
    </w:rPr>
  </w:style>
  <w:style w:type="character" w:styleId="Enfasigrassetto">
    <w:name w:val="Strong"/>
    <w:basedOn w:val="Carpredefinitoparagrafo"/>
    <w:uiPriority w:val="22"/>
    <w:qFormat/>
    <w:rsid w:val="003A1565"/>
    <w:rPr>
      <w:b/>
      <w:bCs/>
    </w:rPr>
  </w:style>
  <w:style w:type="character" w:styleId="Enfasicorsivo">
    <w:name w:val="Emphasis"/>
    <w:basedOn w:val="Carpredefinitoparagrafo"/>
    <w:uiPriority w:val="20"/>
    <w:qFormat/>
    <w:rsid w:val="003A1565"/>
    <w:rPr>
      <w:i/>
      <w:iCs/>
    </w:rPr>
  </w:style>
  <w:style w:type="paragraph" w:styleId="NormaleWeb">
    <w:name w:val="Normal (Web)"/>
    <w:basedOn w:val="Normale"/>
    <w:uiPriority w:val="99"/>
    <w:semiHidden/>
    <w:unhideWhenUsed/>
    <w:rsid w:val="003A156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517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rborio.gov.it/ica/images/Decreto_Trasparenza_PA_2013.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7</cp:revision>
  <cp:lastPrinted>2017-01-10T10:40:00Z</cp:lastPrinted>
  <dcterms:created xsi:type="dcterms:W3CDTF">2017-01-10T10:39:00Z</dcterms:created>
  <dcterms:modified xsi:type="dcterms:W3CDTF">2017-01-10T14:33:00Z</dcterms:modified>
</cp:coreProperties>
</file>